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4" w:type="dxa"/>
        <w:tblInd w:w="93" w:type="dxa"/>
        <w:tblLook w:val="04A0" w:firstRow="1" w:lastRow="0" w:firstColumn="1" w:lastColumn="0" w:noHBand="0" w:noVBand="1"/>
      </w:tblPr>
      <w:tblGrid>
        <w:gridCol w:w="3680"/>
        <w:gridCol w:w="1200"/>
        <w:gridCol w:w="1200"/>
        <w:gridCol w:w="1244"/>
      </w:tblGrid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C" w:rsidRPr="00DE1D41" w:rsidRDefault="000D653C" w:rsidP="00FF7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Land Charges</w:t>
            </w: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Statement 201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7</w:t>
            </w: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/1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53C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F8" w:rsidRPr="00DA50F8" w:rsidRDefault="00DA50F8" w:rsidP="00FF777F">
            <w:pPr>
              <w:pStyle w:val="NormalWeb"/>
              <w:jc w:val="both"/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</w:pPr>
            <w:r w:rsidRPr="00DA50F8"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We must publish information about the cost of providing land charges services as well as the income we receive (required by The Local Authorities (England) (Charges for Property Searches) Regulations 2008).</w:t>
            </w:r>
            <w:r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 xml:space="preserve"> Below are the fig</w:t>
            </w:r>
            <w:r w:rsidR="000272B5"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ures for the financial year 201</w:t>
            </w:r>
            <w:r w:rsidR="00FF777F"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7</w:t>
            </w:r>
            <w:r w:rsidR="000272B5"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/1</w:t>
            </w:r>
            <w:r w:rsidR="00FF777F"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8</w:t>
            </w:r>
            <w:r>
              <w:rPr>
                <w:rFonts w:asciiTheme="minorHAnsi" w:hAnsiTheme="minorHAnsi"/>
                <w:color w:val="000000"/>
                <w:spacing w:val="4"/>
                <w:sz w:val="22"/>
                <w:szCs w:val="22"/>
                <w:lang w:val="en"/>
              </w:rPr>
              <w:t>. </w:t>
            </w:r>
          </w:p>
        </w:tc>
      </w:tr>
      <w:tr w:rsidR="000D653C" w:rsidRPr="00DE1D41" w:rsidTr="00DA50F8">
        <w:trPr>
          <w:gridAfter w:val="1"/>
          <w:wAfter w:w="1244" w:type="dxa"/>
          <w:trHeight w:val="9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53C" w:rsidRPr="00DE1D41" w:rsidRDefault="000272B5" w:rsidP="00FF7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 201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/1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8</w:t>
            </w:r>
            <w:r w:rsidR="000D653C"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Outturn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£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Expenditure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Employees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FF777F" w:rsidP="00D32C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Premises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Transport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1F62CE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Supplies and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FF777F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25,234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Third Party Payments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Support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FF777F" w:rsidP="00D32C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57,976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Depreciation and Impairment Losses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 xml:space="preserve">Capital Financing Costs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 Expenditure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FF777F" w:rsidP="00712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83,210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Land Charge Fees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872AB0" w:rsidP="00FF7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</w:t>
            </w:r>
            <w:r w:rsidR="00FF777F">
              <w:rPr>
                <w:rFonts w:ascii="Calibri" w:eastAsia="Times New Roman" w:hAnsi="Calibri" w:cs="Times New Roman"/>
                <w:lang w:eastAsia="en-GB"/>
              </w:rPr>
              <w:t>90,787</w:t>
            </w:r>
            <w:r>
              <w:rPr>
                <w:rFonts w:ascii="Calibri" w:eastAsia="Times New Roman" w:hAnsi="Calibri" w:cs="Times New Roman"/>
                <w:lang w:eastAsia="en-GB"/>
              </w:rPr>
              <w:t>)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Miscellaneous 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1F62CE" w:rsidP="00D32C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 Income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1F62CE" w:rsidP="00FF7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90,787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94777B" w:rsidP="00947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0D653C"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Surplus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)/Deficit</w:t>
            </w:r>
            <w:r w:rsidR="000D653C"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for the Year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FF7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FF777F">
              <w:rPr>
                <w:rFonts w:ascii="Calibri" w:eastAsia="Times New Roman" w:hAnsi="Calibri" w:cs="Times New Roman"/>
                <w:b/>
                <w:bCs/>
                <w:lang w:eastAsia="en-GB"/>
              </w:rPr>
              <w:t>7,577</w:t>
            </w:r>
            <w:r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94777B" w:rsidP="00947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0D653C" w:rsidRPr="00DE1D41">
              <w:rPr>
                <w:rFonts w:ascii="Calibri" w:eastAsia="Times New Roman" w:hAnsi="Calibri" w:cs="Times New Roman"/>
                <w:b/>
                <w:bCs/>
                <w:lang w:eastAsia="en-GB"/>
              </w:rPr>
              <w:t>Surplus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)/Deficit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E1D4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D653C" w:rsidP="00FF77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Brought </w:t>
            </w:r>
            <w:r w:rsidR="00AE0E9C">
              <w:rPr>
                <w:rFonts w:ascii="Calibri" w:eastAsia="Times New Roman" w:hAnsi="Calibri" w:cs="Times New Roman"/>
                <w:lang w:eastAsia="en-GB"/>
              </w:rPr>
              <w:t>forward from 201</w:t>
            </w:r>
            <w:r w:rsidR="00FF777F">
              <w:rPr>
                <w:rFonts w:ascii="Calibri" w:eastAsia="Times New Roman" w:hAnsi="Calibri" w:cs="Times New Roman"/>
                <w:lang w:eastAsia="en-GB"/>
              </w:rPr>
              <w:t>6</w:t>
            </w:r>
            <w:r w:rsidR="00AE0E9C">
              <w:rPr>
                <w:rFonts w:ascii="Calibri" w:eastAsia="Times New Roman" w:hAnsi="Calibri" w:cs="Times New Roman"/>
                <w:lang w:eastAsia="en-GB"/>
              </w:rPr>
              <w:t>/1</w:t>
            </w:r>
            <w:r w:rsidR="00FF777F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5679A1" w:rsidRDefault="00FF777F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28,342</w:t>
            </w:r>
          </w:p>
        </w:tc>
      </w:tr>
      <w:tr w:rsidR="000D653C" w:rsidRPr="00DE1D41" w:rsidTr="00DA50F8">
        <w:trPr>
          <w:gridAfter w:val="1"/>
          <w:wAfter w:w="1244" w:type="dxa"/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53C" w:rsidRPr="00DE1D41" w:rsidRDefault="000272B5" w:rsidP="00FF77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Carried forward to 201</w:t>
            </w:r>
            <w:r w:rsidR="00FF777F">
              <w:rPr>
                <w:rFonts w:ascii="Calibri" w:eastAsia="Times New Roman" w:hAnsi="Calibri" w:cs="Times New Roman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lang w:eastAsia="en-GB"/>
              </w:rPr>
              <w:t>/1</w:t>
            </w:r>
            <w:r w:rsidR="00FF777F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53C" w:rsidRPr="005679A1" w:rsidRDefault="00FF777F" w:rsidP="00DA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20,765</w:t>
            </w:r>
          </w:p>
        </w:tc>
      </w:tr>
      <w:tr w:rsidR="000D653C" w:rsidRPr="00DE1D41" w:rsidTr="000D653C">
        <w:trPr>
          <w:gridAfter w:val="3"/>
          <w:wAfter w:w="3644" w:type="dxa"/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0D653C" w:rsidRPr="00DE1D41" w:rsidTr="000D653C">
        <w:trPr>
          <w:trHeight w:val="1515"/>
        </w:trPr>
        <w:tc>
          <w:tcPr>
            <w:tcW w:w="7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53C" w:rsidRPr="00DE1D41" w:rsidRDefault="000D653C" w:rsidP="00DA50F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DE1D41" w:rsidRDefault="00DE1D41"/>
    <w:sectPr w:rsidR="00DE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1"/>
    <w:rsid w:val="000272B5"/>
    <w:rsid w:val="000D653C"/>
    <w:rsid w:val="00127CFB"/>
    <w:rsid w:val="001F62CE"/>
    <w:rsid w:val="00224532"/>
    <w:rsid w:val="002463B1"/>
    <w:rsid w:val="002B6928"/>
    <w:rsid w:val="0036757D"/>
    <w:rsid w:val="005679A1"/>
    <w:rsid w:val="0067173C"/>
    <w:rsid w:val="00712F1F"/>
    <w:rsid w:val="00872AB0"/>
    <w:rsid w:val="008A0B6C"/>
    <w:rsid w:val="0094777B"/>
    <w:rsid w:val="00AE0E9C"/>
    <w:rsid w:val="00D0547F"/>
    <w:rsid w:val="00D32CB9"/>
    <w:rsid w:val="00DA50F8"/>
    <w:rsid w:val="00DC5453"/>
    <w:rsid w:val="00DE1D41"/>
    <w:rsid w:val="00F553D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0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0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993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0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</dc:creator>
  <cp:lastModifiedBy>Colleen Warren</cp:lastModifiedBy>
  <cp:revision>4</cp:revision>
  <cp:lastPrinted>2015-05-22T14:42:00Z</cp:lastPrinted>
  <dcterms:created xsi:type="dcterms:W3CDTF">2018-05-30T14:21:00Z</dcterms:created>
  <dcterms:modified xsi:type="dcterms:W3CDTF">2018-05-30T14:27:00Z</dcterms:modified>
</cp:coreProperties>
</file>